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contextualSpacing/>
        <w:jc w:val="both"/>
        <w:textAlignment w:val="auto"/>
        <w:rPr>
          <w:rFonts w:hint="default" w:ascii="Times New Roman" w:hAnsi="Times New Roman" w:eastAsia="宋体" w:cs="Times New Roman"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证券代码：000966         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证券简称：长源电力       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编号：20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cs="Times New Roman"/>
          <w:color w:val="000000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-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0</w:t>
      </w:r>
      <w:r>
        <w:rPr>
          <w:rFonts w:hint="eastAsia" w:ascii="Times New Roman" w:hAnsi="Times New Roman" w:cs="Times New Roman"/>
          <w:color w:val="000000"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contextualSpacing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contextualSpacing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2"/>
          <w:szCs w:val="2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2"/>
          <w:szCs w:val="24"/>
          <w:lang w:eastAsia="zh-CN"/>
        </w:rPr>
        <w:t>国家能源集团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2"/>
          <w:szCs w:val="24"/>
        </w:rPr>
        <w:t>长源电力股份有限公司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contextualSpacing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2"/>
          <w:szCs w:val="2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32"/>
          <w:szCs w:val="24"/>
        </w:rPr>
        <w:t>投资者关系活动记录表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contextualSpacing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24"/>
          <w:szCs w:val="24"/>
        </w:rPr>
      </w:pPr>
    </w:p>
    <w:tbl>
      <w:tblPr>
        <w:tblStyle w:val="4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1"/>
        <w:gridCol w:w="7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bookmarkStart w:id="0" w:name="_GoBack"/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投资者关系</w:t>
            </w:r>
          </w:p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活动类别</w:t>
            </w:r>
          </w:p>
        </w:tc>
        <w:tc>
          <w:tcPr>
            <w:tcW w:w="7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 xml:space="preserve">□特定对象调研   □分析师会议    □媒体采访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1"/>
                <w:lang w:eastAsia="zh-CN"/>
              </w:rPr>
              <w:sym w:font="Wingdings 2" w:char="0052"/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 xml:space="preserve">业绩说明会     </w:t>
            </w:r>
          </w:p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 xml:space="preserve">□新闻发布会     □路演活动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 xml:space="preserve">现场参观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sym w:font="Wingdings 2" w:char="0052"/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eastAsia="zh-CN"/>
              </w:rPr>
              <w:t>活动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eastAsia="zh-CN"/>
              </w:rPr>
              <w:t>参与人员</w:t>
            </w:r>
          </w:p>
        </w:tc>
        <w:tc>
          <w:tcPr>
            <w:tcW w:w="7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textAlignment w:val="auto"/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eastAsia="zh-CN"/>
              </w:rPr>
              <w:t>投资者：通过网络参加的投资者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textAlignment w:val="auto"/>
              <w:rPr>
                <w:rFonts w:hint="eastAsia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eastAsia="zh-CN"/>
              </w:rPr>
              <w:t>长源电力：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郑</w:t>
            </w:r>
            <w:r>
              <w:rPr>
                <w:rFonts w:hint="eastAsia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峰</w:t>
            </w:r>
            <w:r>
              <w:rPr>
                <w:rFonts w:hint="eastAsia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（董事、总经理）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ind w:firstLine="1200" w:firstLineChars="500"/>
              <w:textAlignment w:val="auto"/>
              <w:rPr>
                <w:rFonts w:hint="eastAsia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胡  谦（副总经理）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ind w:firstLine="1200" w:firstLineChars="500"/>
              <w:textAlignment w:val="auto"/>
              <w:rPr>
                <w:rFonts w:hint="eastAsia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潘承亮（董事会秘书）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ind w:firstLine="1200" w:firstLineChars="500"/>
              <w:textAlignment w:val="auto"/>
              <w:rPr>
                <w:rFonts w:hint="eastAsia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规划发展部、财务部、安全环保部、生产管理部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ind w:left="1199" w:leftChars="545" w:firstLine="0" w:firstLineChars="0"/>
              <w:textAlignment w:val="auto"/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工程建设部、市场营销部、燃料采购部、证券与企业管理部有关人员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7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textAlignment w:val="auto"/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2025年</w:t>
            </w:r>
            <w:r>
              <w:rPr>
                <w:rFonts w:hint="eastAsia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日（星期</w:t>
            </w:r>
            <w:r>
              <w:rPr>
                <w:rFonts w:hint="eastAsia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）1</w:t>
            </w:r>
            <w:r>
              <w:rPr>
                <w:rFonts w:hint="eastAsia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30</w:t>
            </w: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~16:</w:t>
            </w:r>
            <w:r>
              <w:rPr>
                <w:rFonts w:hint="eastAsia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</w:rPr>
              <w:t>地点</w:t>
            </w:r>
          </w:p>
        </w:tc>
        <w:tc>
          <w:tcPr>
            <w:tcW w:w="7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textAlignment w:val="auto"/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val="en-US" w:eastAsia="zh-CN"/>
              </w:rPr>
              <w:t>武汉市洪山区徐东大街63号国家能源大厦206会议室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eastAsia="zh-CN"/>
              </w:rPr>
              <w:t>形式</w:t>
            </w:r>
          </w:p>
        </w:tc>
        <w:tc>
          <w:tcPr>
            <w:tcW w:w="7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textAlignment w:val="auto"/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eastAsia="zh-CN"/>
              </w:rPr>
              <w:t>网络互动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</w:rPr>
              <w:t>交流内容及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</w:rPr>
              <w:t>具体问答记录</w:t>
            </w:r>
          </w:p>
        </w:tc>
        <w:tc>
          <w:tcPr>
            <w:tcW w:w="7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482" w:firstLineChars="200"/>
              <w:textAlignment w:val="auto"/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1. 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eastAsia="zh-CN"/>
              </w:rPr>
              <w:t>请问公司2025资产重组工作进展到哪一步了？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eastAsia="zh-CN"/>
              </w:rPr>
              <w:t>您好！目前公司没有应披露而未披露的信息，涉及公司生产经营、战略发展等方面的信息，请以公司在指定媒体披露的信息为准！感谢您的关注！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482" w:firstLineChars="200"/>
              <w:textAlignment w:val="auto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长源电力的长协煤价多少？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您好！公司认真落实国家电煤中长协相关政策，按照政策要求签订电煤年度合同，年度合同价格采用“基准+浮动”的定价机制。感谢您的关注！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482" w:firstLineChars="200"/>
              <w:textAlignment w:val="auto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请问2025年一季度为什么亏损，预计半年度业绩怎样？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您好！2025年一季度亏损，主要原因是售电均价及售电量同比下降。半年度业绩请参阅公司届时在指定媒体披露的2025年半年度报告。感谢您的关注！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482" w:firstLineChars="200"/>
              <w:textAlignment w:val="auto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本年度是否有措施扭亏为盈？是否响应国家能源局要求的市值管理部署？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您好！公司坚持聚焦市场营销增收提效、聚焦燃料采购降本提效、聚焦财务资金管控提效，努力提升盈利能力和经营业绩水平。公司认真贯彻落实国资监管和证券监管关于市值管理的部署要求，积极围绕“七提升”改进和加强市值管理工作：一是提升经营业绩，二是提升投资者回报，三是提升信息披露质量，四是提升ESG工作能力，五是提升投资者关系管理效能，六是提升公司治理质效，七是提升市值管理规范化水平。感谢您的关注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482" w:firstLineChars="200"/>
              <w:textAlignment w:val="auto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贵公司今年及未来几年的业绩及盈利目标是多少？公司如何进一步提高湖北省市场份额占比，有没有相关目标？公司未来发展是靠自我供血发展，还是继续融资去发展？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您好！2024年，受发电量同比增加及燃煤价格同比降低等因素影响，公司实现归属母公司的净利润71,522.25万元，同比增加36,616.04万元。公司经营业绩受电力、煤炭、资金市场等多重因素影响，公司坚持聚焦市场营销增收提效、聚焦燃料采购降本提效、聚焦财务资金管控提效，努力提升盈利能力和经营业绩水平。 截至2024年底，公司可控总装机容量1121.85万千瓦，装机容量占湖北全省发电装机容量12,360.85万千瓦（含三峡）的9.08%。其中火电装机容量831万千瓦，占湖北全省火电装机容量4,086.74万千瓦的20.33%。预计2025年底，公司可控总装机容量将达到1361万千瓦，约占湖北全省发电装机容量13800万千瓦（含三峡）的9.86%。其中公司火电装机容量1031万千瓦，约占湖北全省火电装机容量22.86%，市场份额将进一步加大。未来公司将坚持市场导向，从追求发展规模速度向注重质量效益转变，加强项目优选，优化资源配置，提升发展质效，推动公司健康可持续高质量发展。公司未来发展将立足自身优势，激发自我造血能力，同时用好各类融资政策和资源，助力公司高质量发展，为股东、员工和社会创造共享价值。感谢您的关注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482" w:firstLineChars="200"/>
              <w:textAlignment w:val="auto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请问一下长源电力领导 6月3号公司刚迎来5.12亿的机构配售解禁， 请问一下目前该定向增发的股份减持情况如何？是否已经全部减持完成了？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您好！公司非公开发行的部分股票已于2025年6月3日解除限售，公司目前不存在应披露的股东减持情况或减持计划。关于公司主要股东的持股变化情况，请参阅公司届时在指定媒体披露的半年度报告、季度报告等定期报告。感谢您的关注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482" w:firstLineChars="200"/>
              <w:textAlignment w:val="auto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公司业绩目标是什么，比如每年的增长额，总不能定增完成后业绩方面没有明显改善。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您好！定增完成有利于降低公司财务费用和资产负债率。公司经营业绩受电力、煤炭、资金市场等多重因素影响，目前，公司坚持聚焦市场营销增收提效、聚焦燃料采购降本提效、聚焦财务资金管控提效，努力提升盈利能力和经营业绩水平。同时，公司积极落实战略发展规划，进一步强化经营效益管控，借助国家能源集团“煤炭产运需”一体化运营优势，持续提升公司在“电源布局优势、发电机组经济指标优势、新能源资源获取优势、公司治理与人才优势”等方面的核心竞争力，力争实现核心竞争优势向经营效益优势的转化。感谢您的关注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482" w:firstLineChars="200"/>
              <w:textAlignment w:val="auto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请问公司今年业务发展的最重要的部分是什么？目前进展如何？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您好！公司主营业务是电力、热力生产及销售，目前，公司正按照年度目标积极推进电力、热力生产及销售，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努力实现提质增效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具体进展情况请参阅公司披露的定期报告及有关公告。感谢您的关注！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482" w:firstLineChars="200"/>
              <w:textAlignment w:val="auto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公司未来的发展方向是啥？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您好！未来公司将主动融入新型能源体系及新型电力系统构建，发力传统产业转型升级和战新产业规模质量发展，合理实施煤电机组改造升级，优先发展风电，择优开发光伏，探索发展新型储能，巩固拓展综合能源服务，着力培育新质生产力，提升核心竞争力，推动公司健康可持续高质量发展。感谢您的关注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482" w:firstLineChars="200"/>
              <w:textAlignment w:val="auto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请问贵公司领导，国家能源集团长源电力股份有限公司作为湖北省电力龙头企业，在2025年有哪些发展规划？国家大力倡导国企并购重组，湖北能源作为国家能源集团控股公司，与长源电力后期会有哪些合作。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您好！本年公司计划汉川四期2×100万千瓦煤电、荆州安道麦专线热网项目建成投产，荆州50MW/150MWh熔盐储能项目开工建设，全年新增火电装机200万千瓦、新能源装机37万千瓦，到2025年底，公司总装机将达到1361万千瓦。国能湖北能源目前主要投资建设抽水蓄能项目，实施差异化发展，避免与上市公司同业竞争。关于公司战略发展、并购重组等重大信息，请以公司在指定媒体披露的信息为准！感谢您的关注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482" w:firstLineChars="200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请问公司的发电量有没有全部被市场消纳呢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Times New Roman" w:hAnsi="Times New Roman" w:eastAsia="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您好！目前，公司主动融入市场化电力体制改革，科学参与市场化交易，同时持续强化专业化、精益化管理，增加设备利用小时，提高风、光功率预测准确率，减少非必要电量损失。感谢您的关注！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</w:rPr>
              <w:t>关于本次活动是否涉及应披露重大信息的说明</w:t>
            </w:r>
          </w:p>
        </w:tc>
        <w:tc>
          <w:tcPr>
            <w:tcW w:w="7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contextualSpacing/>
              <w:jc w:val="both"/>
              <w:textAlignment w:val="auto"/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color w:val="auto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活动过程中所使用的演示文稿、提供的文档等附件（如有，可作为附件）</w:t>
            </w:r>
          </w:p>
        </w:tc>
        <w:tc>
          <w:tcPr>
            <w:tcW w:w="7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8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无</w:t>
            </w:r>
          </w:p>
        </w:tc>
      </w:tr>
      <w:bookmarkEnd w:id="0"/>
    </w:tbl>
    <w:p/>
    <w:sectPr>
      <w:footerReference r:id="rId5" w:type="default"/>
      <w:pgSz w:w="12240" w:h="15840"/>
      <w:pgMar w:top="1134" w:right="1701" w:bottom="1134" w:left="1701" w:header="567" w:footer="567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E86D5C"/>
    <w:multiLevelType w:val="singleLevel"/>
    <w:tmpl w:val="09E86D5C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3812D1"/>
    <w:rsid w:val="02702FA4"/>
    <w:rsid w:val="03EB5645"/>
    <w:rsid w:val="05957C05"/>
    <w:rsid w:val="05E61D10"/>
    <w:rsid w:val="083812D1"/>
    <w:rsid w:val="0CD16DB4"/>
    <w:rsid w:val="13757ACD"/>
    <w:rsid w:val="159D54DD"/>
    <w:rsid w:val="16806CCF"/>
    <w:rsid w:val="195C7A6F"/>
    <w:rsid w:val="199C1CAB"/>
    <w:rsid w:val="19F530A3"/>
    <w:rsid w:val="1A592637"/>
    <w:rsid w:val="1AA05F1D"/>
    <w:rsid w:val="1B8F1D8F"/>
    <w:rsid w:val="1D7813D1"/>
    <w:rsid w:val="1D8E5120"/>
    <w:rsid w:val="1E982BF1"/>
    <w:rsid w:val="21D10405"/>
    <w:rsid w:val="235D0343"/>
    <w:rsid w:val="26756977"/>
    <w:rsid w:val="268F4028"/>
    <w:rsid w:val="27E41669"/>
    <w:rsid w:val="29085450"/>
    <w:rsid w:val="2AAC182B"/>
    <w:rsid w:val="2E700DE4"/>
    <w:rsid w:val="2F7420ED"/>
    <w:rsid w:val="30572119"/>
    <w:rsid w:val="31A43150"/>
    <w:rsid w:val="31B16572"/>
    <w:rsid w:val="32A52E02"/>
    <w:rsid w:val="34BC7662"/>
    <w:rsid w:val="3549260A"/>
    <w:rsid w:val="36732A0F"/>
    <w:rsid w:val="39CC343D"/>
    <w:rsid w:val="3ACA0417"/>
    <w:rsid w:val="3C792D83"/>
    <w:rsid w:val="3E4601B0"/>
    <w:rsid w:val="3E614983"/>
    <w:rsid w:val="3F4004C7"/>
    <w:rsid w:val="40EF5725"/>
    <w:rsid w:val="41857993"/>
    <w:rsid w:val="436C3967"/>
    <w:rsid w:val="44907CC1"/>
    <w:rsid w:val="460226BD"/>
    <w:rsid w:val="475C7D83"/>
    <w:rsid w:val="48233EE8"/>
    <w:rsid w:val="49345036"/>
    <w:rsid w:val="4B453A41"/>
    <w:rsid w:val="4B5E0443"/>
    <w:rsid w:val="4B890A97"/>
    <w:rsid w:val="4CDD0076"/>
    <w:rsid w:val="4D5667AB"/>
    <w:rsid w:val="4DDD110E"/>
    <w:rsid w:val="4E1919F8"/>
    <w:rsid w:val="4E676C7D"/>
    <w:rsid w:val="511469B1"/>
    <w:rsid w:val="513335B2"/>
    <w:rsid w:val="514935C9"/>
    <w:rsid w:val="55F76965"/>
    <w:rsid w:val="569B3B0C"/>
    <w:rsid w:val="57545A82"/>
    <w:rsid w:val="5B653234"/>
    <w:rsid w:val="5C0C3353"/>
    <w:rsid w:val="5C9A5B38"/>
    <w:rsid w:val="5CF33B90"/>
    <w:rsid w:val="5E9C27B0"/>
    <w:rsid w:val="5EA94AA2"/>
    <w:rsid w:val="5EC50F25"/>
    <w:rsid w:val="5FB61453"/>
    <w:rsid w:val="60333D83"/>
    <w:rsid w:val="62FC7E58"/>
    <w:rsid w:val="664F2482"/>
    <w:rsid w:val="6A23791F"/>
    <w:rsid w:val="6AE75B9E"/>
    <w:rsid w:val="6CF61FC1"/>
    <w:rsid w:val="6D1B2A48"/>
    <w:rsid w:val="6D722D12"/>
    <w:rsid w:val="6DAA3C15"/>
    <w:rsid w:val="6EC863D7"/>
    <w:rsid w:val="73591031"/>
    <w:rsid w:val="73D80D2C"/>
    <w:rsid w:val="76443FD3"/>
    <w:rsid w:val="76B34C37"/>
    <w:rsid w:val="77676EE5"/>
    <w:rsid w:val="79663F11"/>
    <w:rsid w:val="7E917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160" w:line="259" w:lineRule="auto"/>
    </w:pPr>
    <w:rPr>
      <w:rFonts w:ascii="Calibri" w:hAnsi="Calibri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keepNext/>
      <w:keepLines/>
      <w:widowControl w:val="0"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cy</Company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2022-03-30T06:53:00Z</dcterms:created>
  <dc:creator>叶建兵</dc:creator>
  <cp:lastModifiedBy>叶建兵</cp:lastModifiedBy>
  <cp:lastPrinted>2025-06-13T05:59:00Z</cp:lastPrinted>
  <dcterms:modified xsi:type="dcterms:W3CDTF">2025-06-13T06:35:21Z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F93B6D593C504DA68CF53B205A6A1BE9</vt:lpwstr>
  </property>
</Properties>
</file>